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2"/>
          <w:sz w:val="30"/>
          <w:szCs w:val="30"/>
          <w:lang w:eastAsia="pl-PL"/>
          <w14:ligatures w14:val="none"/>
        </w:rPr>
        <w:t>OPIS PRZEDMIOTU ZAMÓWIENIA</w:t>
      </w:r>
      <w:r>
        <w:rPr>
          <w:rFonts w:eastAsia="Times New Roman" w:cs="Times New Roman" w:ascii="Times New Roman" w:hAnsi="Times New Roman"/>
          <w:b/>
          <w:bCs/>
          <w:color w:val="1F1F1F"/>
          <w:kern w:val="2"/>
          <w:sz w:val="48"/>
          <w:szCs w:val="48"/>
          <w:lang w:eastAsia="pl-PL"/>
          <w14:ligatures w14:val="none"/>
        </w:rPr>
        <w:t xml:space="preserve"> </w:t>
      </w:r>
    </w:p>
    <w:p>
      <w:pPr>
        <w:pStyle w:val="Normal"/>
        <w:spacing w:before="0" w:after="120"/>
        <w:jc w:val="center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24"/>
          <w:szCs w:val="24"/>
          <w:lang w:eastAsia="pl-PL"/>
          <w14:ligatures w14:val="none"/>
        </w:rPr>
        <w:t>1. Przedmiot zamówienia</w:t>
      </w:r>
    </w:p>
    <w:p>
      <w:pPr>
        <w:pStyle w:val="Normal"/>
        <w:spacing w:before="0" w:after="24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Przedmiotem zamówienia jest 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zakup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, dostawa, montaż oraz konfiguracja 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i 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uruchomienie profesjonalnego systemu wizualnego opartego na ekranie LED w technologii GOB wraz </w:t>
        <w:br/>
        <w:t>z systemem sterowania, procesorem obrazu oraz niezbędną infrastrukturą kablową i szafą teletechniczną w Auli Urzędu Miasta Płocka.</w:t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24"/>
          <w:szCs w:val="24"/>
          <w:lang w:eastAsia="pl-PL"/>
          <w14:ligatures w14:val="none"/>
        </w:rPr>
        <w:t>2. Wymagania ogólne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Wszystkie dostarczone urządzenia muszą być fabrycznie nowe, niepowystawowe, nieregenerowane i pochodzące z oficjalnych kanałów sprzedaży producenta na rynek UE.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Style w:val="citation-1140"/>
          <w:rFonts w:cs="Times New Roman" w:ascii="Times New Roman" w:hAnsi="Times New Roman"/>
        </w:rPr>
        <w:t>System musi być dostarczony jako rozwiązanie w pełni zintegrowane i gotowe do eksploatacji, zawierające wszelkie niezbędne podzespoły, kable, akcesoria montażowe, oprogramowanie oraz licencje wymagane do uzyskania pełnej funkcjonalności opisanej w niniejszym OPZ, bez konieczności ponoszenia przez Zamawiającego jakichkolwiek dodatkowych kosztów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.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Wyświetlacz musi tworzyć jednolitą, bezramkową powierzchnię roboczą. Konstrukcja musi być estetyczna, bez widocznego okablowania zewnętrznego.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Style w:val="citation-54"/>
          <w:rFonts w:cs="Times New Roman" w:ascii="Times New Roman" w:hAnsi="Times New Roman"/>
        </w:rPr>
        <w:t xml:space="preserve">Wykonawca zapewni bezstratną transmisję sygnału między reżyserką a ekranem LED z wykorzystaniem profesjonalnych kabli światłowodowych (np. HDMI AOC </w:t>
        <w:br/>
        <w:t xml:space="preserve">lub dedykowane extendery światłowodowe), gwarantujących pełną przepustowość </w:t>
        <w:br/>
        <w:t>dla sygnału 4K przy 60Hz.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Urządzenia muszą posiadać certyfikaty CE oraz RoHS.</w:t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rFonts w:ascii="Times New Roman" w:hAnsi="Times New Roman" w:eastAsia="Times New Roman" w:cs="Times New Roman"/>
          <w:b/>
          <w:bCs/>
          <w:color w:val="1F1F1F"/>
          <w:kern w:val="0"/>
          <w:sz w:val="36"/>
          <w:szCs w:val="36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36"/>
          <w:szCs w:val="36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24"/>
          <w:szCs w:val="24"/>
          <w:lang w:eastAsia="pl-PL"/>
          <w14:ligatures w14:val="none"/>
        </w:rPr>
        <w:t>3. Specyfikacja techniczna ekranu LED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  <w:b/>
          <w:bCs/>
        </w:rPr>
        <w:t>Technologia:</w:t>
      </w:r>
      <w:r>
        <w:rPr>
          <w:rFonts w:cs="Times New Roman" w:ascii="Times New Roman" w:hAnsi="Times New Roman"/>
        </w:rPr>
        <w:t xml:space="preserve"> LED, diody typu Black Face (czarna obudowa diody) w celu zapewnienia wysokiego kontrastu statycznego (min. 4000:1) oraz eliminacji odbić światła zewnętrznego. Nie dopuszcza się rozwiązań bazujących na kontraście dynamicznym.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Zabezpieczenie matrycy: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Technologia </w:t>
      </w: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GOB (Glue on Board)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– matryca zalana przezroczystą powłoką chroniącą przed uszkodzeniami mechanicznymi, kurzem </w:t>
        <w:br/>
        <w:t>i wilgocią.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Wymiary aktywnej powierzchni: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ok. 4160 x 2400 mm (dopuszczalna tolerancja </w:t>
        <w:br/>
        <w:t>+/- 5% przy zachowaniu proporcji zbliżonych do 16:9).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Rozdzielczość natywna: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</w:t>
      </w:r>
      <w:r>
        <w:rPr>
          <w:rFonts w:cs="Times New Roman" w:ascii="Times New Roman" w:hAnsi="Times New Roman"/>
        </w:rPr>
        <w:t>wynikająca z zastosowanego rozstawu diod (pixel pitch) oraz wymiarów aktywnych ekranu, nie mniejsza niż 1920 x 1080 pikseli.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Pixel Pitch (rozstaw diod):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nie większy niż </w:t>
      </w: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1.9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mm.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Jasność: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Minimum 600 nit (cd/m²) z możliwością płynnej regulacji. </w:t>
      </w:r>
      <w:r>
        <w:rPr>
          <w:rFonts w:cs="Times New Roman" w:ascii="Times New Roman" w:hAnsi="Times New Roman"/>
        </w:rPr>
        <w:t xml:space="preserve">System musi zapewniać utrzymanie czytelności detali (skali szarości) oraz stabilności kolorów </w:t>
        <w:br/>
        <w:t>w całym zakresie regulacji jasności.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Częstotliwość odświeżania: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Minimum 3840 Hz (brak efektu migotania i linii skanowania w kamerach transmisyjnych).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Jednolitość jasności ekranu nie mniejsza niż 97%.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Jednolitość chromatyczności nie mniejsza niż 97%.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Głębia przetwarzania sygnału wideo minimum 14 bit.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Temperatura barwowa regulowana w zakresie co najmniej 3200–9300 K.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Możliwość kalibracji fabrycznej oraz ponownej kalibracji w miejscu instalacji.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Kąt widzenia minimum 160° w pionie i poziomie (przy spadku jasności ≤50%).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Serwis: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Pełny dostęp frontowy (Front Access) – wymiana wszystkich modułów, zasilaczy i kart odbiorczych od przodu ekranu.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System chłodzenia: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Bezwentylatorowy (całkowicie cichy, chłodzenie pasywne).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Żywotność: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Minimum 100 000 h (do 50% jasności nominalnej).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24"/>
          <w:szCs w:val="24"/>
          <w:lang w:eastAsia="pl-PL"/>
          <w14:ligatures w14:val="none"/>
        </w:rPr>
        <w:t>4. System sterowania i procesor wideo</w:t>
      </w:r>
    </w:p>
    <w:p>
      <w:pPr>
        <w:pStyle w:val="Normal"/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Kontroler typu All-in-One: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Obudowa Rack 1U.</w:t>
      </w:r>
    </w:p>
    <w:p>
      <w:pPr>
        <w:pStyle w:val="Normal"/>
        <w:widowControl/>
        <w:numPr>
          <w:ilvl w:val="0"/>
          <w:numId w:val="3"/>
        </w:numPr>
        <w:suppressAutoHyphens w:val="true"/>
        <w:bidi w:val="0"/>
        <w:spacing w:before="0" w:after="0"/>
        <w:ind w:hanging="340" w:left="680" w:right="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 xml:space="preserve">Wejścia sygnałowe: </w:t>
      </w:r>
      <w:r>
        <w:rPr>
          <w:rFonts w:cs="Times New Roman" w:ascii="Times New Roman" w:hAnsi="Times New Roman"/>
        </w:rPr>
        <w:t>minimum 4 wejścia wideo cyfrowe (HDMI i/lub SDI), co najmniej jedno wejście HDMI musi być zgodne ze standardem HDMI 2.0 i obsługiwać sygnał 4K (3840×2160) przy 60 Hz, co najmniej jedno wejście musi być w standardzie 3G-SDI,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możliwość wyboru aktywnego źródła z poziomu panelu urządzenia oraz interfejsu sieciowego.</w:t>
      </w:r>
    </w:p>
    <w:p>
      <w:pPr>
        <w:pStyle w:val="Normal"/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Funkcje wideo: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Obsługa trybu Picture-in-Picture (PIP), </w:t>
      </w:r>
      <w:r>
        <w:rPr>
          <w:rFonts w:cs="Times New Roman" w:ascii="Times New Roman" w:hAnsi="Times New Roman"/>
        </w:rPr>
        <w:t>automatyczne skalowanie sygnałów wejściowych o różnych rozdzielczościach do natywnej rozdzielczości ekranu w czasie rzeczywistym, możliwość zapisu i przywoływania presetów scen.</w:t>
      </w:r>
    </w:p>
    <w:p>
      <w:pPr>
        <w:pStyle w:val="Normal"/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Dodatkowe funkcje: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Odtwarzanie treści bezpośrednio z USB (MP4, PNG, JPEG), podtrzymanie danych konfiguracji po awarii zasilania, </w:t>
      </w:r>
      <w:r>
        <w:rPr>
          <w:rFonts w:cs="Times New Roman" w:ascii="Times New Roman" w:hAnsi="Times New Roman"/>
        </w:rPr>
        <w:t>sterowanie poprzez sieć LAN (interfejs WWW lub dedykowana aplikacja), Możliwość aktualizacji oprogramowania układowego.</w:t>
      </w:r>
    </w:p>
    <w:p>
      <w:pPr>
        <w:pStyle w:val="Normal"/>
        <w:numPr>
          <w:ilvl w:val="0"/>
          <w:numId w:val="3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 xml:space="preserve">System </w:t>
      </w:r>
      <w:r>
        <w:rPr>
          <w:rFonts w:cs="Times New Roman" w:ascii="Times New Roman" w:hAnsi="Times New Roman"/>
          <w:b/>
          <w:bCs/>
        </w:rPr>
        <w:t>bezprzewodowej prezentacji:</w:t>
      </w:r>
      <w:r>
        <w:rPr>
          <w:rFonts w:cs="Times New Roman" w:ascii="Times New Roman" w:hAnsi="Times New Roman"/>
        </w:rPr>
        <w:t xml:space="preserve"> Dostawa systemu do bezprzewodowego przesyłania obrazu i dźwięku w czasie rzeczywistym, składającego się z jednej jednostki centralnej (odbiorczej) podłączonej do procesora wideo, wspierającej natywne protokoły transmisji (np. AirPlay, Miracast, Chromecast) dla urządzeń mobilnych (iOS/Android), oraz z jednego zewnętrznego nadajnika (typu „button”) podłączanego bezpośrednio do portu </w:t>
      </w:r>
      <w:r>
        <w:rPr>
          <w:rFonts w:cs="Times New Roman" w:ascii="Times New Roman" w:hAnsi="Times New Roman"/>
          <w:b/>
          <w:bCs/>
        </w:rPr>
        <w:t>USB-C</w:t>
      </w:r>
      <w:r>
        <w:rPr>
          <w:rFonts w:cs="Times New Roman" w:ascii="Times New Roman" w:hAnsi="Times New Roman"/>
        </w:rPr>
        <w:t xml:space="preserve"> laptopa, umożliwiającego przesyłanie obrazu </w:t>
        <w:br/>
        <w:t>bez konieczności instalacji oprogramowania na urządzeniu użytkownika. Możliwość zarządzania przez przeglądarkę WWW.</w:t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rFonts w:ascii="Times New Roman" w:hAnsi="Times New Roman" w:eastAsia="Times New Roman" w:cs="Times New Roman"/>
          <w:b/>
          <w:bCs/>
          <w:color w:val="1F1F1F"/>
          <w:kern w:val="0"/>
          <w:sz w:val="36"/>
          <w:szCs w:val="36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36"/>
          <w:szCs w:val="36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24"/>
          <w:szCs w:val="24"/>
          <w:lang w:eastAsia="pl-PL"/>
          <w14:ligatures w14:val="none"/>
        </w:rPr>
        <w:t>5. Infrastruktura i instalacja</w:t>
      </w:r>
    </w:p>
    <w:p>
      <w:pPr>
        <w:pStyle w:val="Normal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Konstrukcja: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Dostawa i montaż dedykowanej, stabilnej konstrukcji wsporczej pod ekran. </w:t>
      </w:r>
      <w:r>
        <w:rPr>
          <w:rFonts w:cs="Times New Roman" w:ascii="Times New Roman" w:hAnsi="Times New Roman"/>
        </w:rPr>
        <w:t xml:space="preserve">Wykonawca zobowiązany jest do zaprojektowania i wykonania konstrukcji uwzględniającej nośność ściany w miejscu montażu. Konstrukcja musi być całkowicie ukryta za ekranem i estetycznie wykończona (np. maskownice boczne), nie dopuszcza się widocznych elementów montażowych ani okablowania. Wykonawca opracuje projekt konstrukcji wsporczej, potwierdzającą bezpieczeństwo montażu                         i uwzględniającą nośność ściany. Jeśli wymagają tego przepisy, uzyska wymagane uzgodnienia branżowe. </w:t>
      </w:r>
      <w:r>
        <w:rPr>
          <w:rStyle w:val="citation-465"/>
          <w:rFonts w:cs="Times New Roman" w:ascii="Times New Roman" w:hAnsi="Times New Roman"/>
        </w:rPr>
        <w:t>Projekt podlega zatwierdzeniu przez Zamawiającego przed rozpoczęciem montażu</w:t>
      </w:r>
      <w:r>
        <w:rPr>
          <w:rFonts w:cs="Times New Roman" w:ascii="Times New Roman" w:hAnsi="Times New Roman"/>
        </w:rPr>
        <w:t>.</w:t>
      </w:r>
    </w:p>
    <w:p>
      <w:pPr>
        <w:pStyle w:val="Normal"/>
        <w:numPr>
          <w:ilvl w:val="0"/>
          <w:numId w:val="4"/>
        </w:numPr>
        <w:jc w:val="both"/>
        <w:rPr>
          <w:rStyle w:val="citation-50"/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Zasilanie: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Wykonawca doprowadzi zasilanie z rozdzielni do ekranu, w tym dokona niezbędnej modernizacji instalacji, </w:t>
      </w:r>
      <w:r>
        <w:rPr>
          <w:rStyle w:val="citation-50"/>
          <w:rFonts w:cs="Times New Roman" w:ascii="Times New Roman" w:hAnsi="Times New Roman"/>
        </w:rPr>
        <w:t xml:space="preserve">(w tym dokona montażu odpowiednich zabezpieczeń nadmiarowoprądowych, różnicowych dla poprawnego działania ekranu LED)I Instalację z rozdzielnicy do pomieszczenia Auli (HOL) poprowadzić pod tynkiem (wkuć zaszpachlować odtworzyć malowanie)  – </w:t>
      </w:r>
      <w:r>
        <w:rPr>
          <w:rStyle w:val="citation-50"/>
          <w:rFonts w:cs="Times New Roman" w:ascii="Times New Roman" w:hAnsi="Times New Roman"/>
          <w:b/>
          <w:bCs/>
        </w:rPr>
        <w:t>koszt tych prac musi być uwzględniony w ofercie</w:t>
      </w:r>
      <w:r>
        <w:rPr>
          <w:rStyle w:val="citation-50"/>
          <w:rFonts w:cs="Times New Roman" w:ascii="Times New Roman" w:hAnsi="Times New Roman"/>
        </w:rPr>
        <w:t xml:space="preserve">. </w:t>
      </w:r>
    </w:p>
    <w:p>
      <w:pPr>
        <w:pStyle w:val="Normal"/>
        <w:ind w:hanging="0" w:left="7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Instalacja musi obejmować:</w:t>
      </w:r>
    </w:p>
    <w:p>
      <w:pPr>
        <w:pStyle w:val="Normal"/>
        <w:ind w:hanging="0" w:left="7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– </w:t>
      </w:r>
      <w:r>
        <w:rPr>
          <w:rFonts w:cs="Times New Roman" w:ascii="Times New Roman" w:hAnsi="Times New Roman"/>
        </w:rPr>
        <w:t>wydzielony obwód zasilający dla ekranu LED,</w:t>
      </w:r>
    </w:p>
    <w:p>
      <w:pPr>
        <w:pStyle w:val="Normal"/>
        <w:ind w:hanging="0" w:left="7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– </w:t>
      </w:r>
      <w:r>
        <w:rPr>
          <w:rFonts w:cs="Times New Roman" w:ascii="Times New Roman" w:hAnsi="Times New Roman"/>
        </w:rPr>
        <w:t>zabezpieczenie nadmiarowoprądowe, róznicowe,</w:t>
      </w:r>
    </w:p>
    <w:p>
      <w:pPr>
        <w:pStyle w:val="Normal"/>
        <w:ind w:hanging="0" w:left="7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 xml:space="preserve">– </w:t>
      </w:r>
      <w:r>
        <w:rPr>
          <w:rFonts w:cs="Times New Roman" w:ascii="Times New Roman" w:hAnsi="Times New Roman"/>
        </w:rPr>
        <w:t>oznaczenie obwodów w rozdzielni.</w:t>
      </w:r>
    </w:p>
    <w:p>
      <w:pPr>
        <w:pStyle w:val="Normal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Okablowanie: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Wykonanie tras kablowych w relacji Ekran – Reżyserka.</w:t>
      </w:r>
    </w:p>
    <w:p>
      <w:pPr>
        <w:pStyle w:val="Normal"/>
        <w:numPr>
          <w:ilvl w:val="1"/>
          <w:numId w:val="4"/>
        </w:numPr>
        <w:spacing w:before="0" w:after="1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Doprowadzenie sygnału do 6 monitorów podglądowych na stołach (rozdzielacz sygnału HDMI 1:6 w zestawie).</w:t>
      </w:r>
    </w:p>
    <w:p>
      <w:pPr>
        <w:pStyle w:val="Normal"/>
        <w:numPr>
          <w:ilvl w:val="1"/>
          <w:numId w:val="4"/>
        </w:numPr>
        <w:spacing w:before="0" w:after="120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Montaż dodatkowego przyłącza HDMI na mównicy.</w:t>
      </w:r>
    </w:p>
    <w:p>
      <w:pPr>
        <w:pStyle w:val="Normal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Estetyka: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Wszystkie kable muszą być ukryte w korytach systemowych lub zabudowie, poza ciągami komunikacyjnymi.</w:t>
      </w:r>
    </w:p>
    <w:p>
      <w:pPr>
        <w:pStyle w:val="Normal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Szafa Rack: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</w:t>
      </w:r>
      <w:r>
        <w:rPr>
          <w:rFonts w:cs="Times New Roman" w:ascii="Times New Roman" w:hAnsi="Times New Roman"/>
        </w:rPr>
        <w:t xml:space="preserve">Wykonawca dostarczy szafę stojącą w standardzie 19” o wysokości minimum 9U i głębokości 600 mm, wyposażoną w przeszklone drzwi przednie zamykane na klucz oraz zestaw kół transportowych (w tym minimum dwa </w:t>
        <w:br/>
        <w:t>z blokadą/hamulcem). W ramach doposażenia szafy Wykonawca dostarczy i zamontuje dedykowaną listwę zasilającą (PDU) 19” z minimum 8 gniazdami i wyłącznikiem oraz co najmniej jedną półkę montażową o nośności dopasowanej do instalowanych urządzeń.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24"/>
          <w:szCs w:val="24"/>
          <w:lang w:eastAsia="pl-PL"/>
          <w14:ligatures w14:val="none"/>
        </w:rPr>
        <w:t>6. Gwarancja i Serwis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Okres gwarancji: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Minimum 36 miesięcy na cały system i prace montażowe.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Czas reakcji: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Maksymalnie 72 godziny od zgłoszenia awarii.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Zasada 3 awarii: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Po trzeciej usterce tego samego elementu, wymiana na nowy.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Zapas serwisowy: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Wykonawca dostarczy wraz z ekranem </w:t>
      </w: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10% modułów LED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z tej samej partii produkcyjnej (binowanie) w celu zapewnienia identyczności barwnej przy przyszłych naprawach.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  <w:b/>
          <w:bCs/>
        </w:rPr>
        <w:t>Maksymalny czas usunięcia awarii:</w:t>
      </w:r>
      <w:r>
        <w:rPr>
          <w:rFonts w:cs="Times New Roman" w:ascii="Times New Roman" w:hAnsi="Times New Roman"/>
        </w:rPr>
        <w:t xml:space="preserve"> 7 dni roboczych od zgłoszenia.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Serwis świadczony w miejscu instalacji, o ile charakter usterki na to pozwala.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cs="Times New Roman" w:ascii="Times New Roman" w:hAnsi="Times New Roman"/>
        </w:rPr>
        <w:t>Wykonawca zapewnia dostępność części zamiennych przez minimum 5 lat od odbioru końcowego.</w:t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rFonts w:ascii="Times New Roman" w:hAnsi="Times New Roman" w:eastAsia="Times New Roman" w:cs="Times New Roman"/>
          <w:b/>
          <w:bCs/>
          <w:color w:val="1F1F1F"/>
          <w:kern w:val="0"/>
          <w:sz w:val="36"/>
          <w:szCs w:val="36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36"/>
          <w:szCs w:val="36"/>
          <w:lang w:eastAsia="pl-PL"/>
          <w14:ligatures w14:val="none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0"/>
        <w:jc w:val="both"/>
        <w:outlineLvl w:val="1"/>
        <w:rPr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sz w:val="24"/>
          <w:szCs w:val="24"/>
          <w:lang w:eastAsia="pl-PL"/>
          <w14:ligatures w14:val="none"/>
        </w:rPr>
        <w:t>7. Warunki realizacji</w:t>
      </w:r>
    </w:p>
    <w:p>
      <w:pPr>
        <w:pStyle w:val="Normal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Wizja lokalna: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Zamawiający wymaga przeprowadzenia </w:t>
      </w: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obowiązkowej wizji lokalnej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przed złożeniem oferty pod rygorem odrzucenia oferty.</w:t>
      </w:r>
    </w:p>
    <w:p>
      <w:pPr>
        <w:pStyle w:val="Normal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Termin realizacji: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90 dni od daty podpisania umowy.</w:t>
      </w:r>
    </w:p>
    <w:p>
      <w:pPr>
        <w:pStyle w:val="Normal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Szkolenie: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Przeprowadzenie szkolenia dla min. 3 pracowników z zakresu obsługi              i administracji systemem oraz instalacja oprogramowania na wskazanym komputerze.</w:t>
      </w:r>
    </w:p>
    <w:p>
      <w:pPr>
        <w:pStyle w:val="Normal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1F1F1F"/>
          <w:kern w:val="0"/>
          <w:lang w:eastAsia="pl-PL"/>
          <w14:ligatures w14:val="none"/>
        </w:rPr>
        <w:t>Dokumentacja:</w:t>
      </w: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 xml:space="preserve"> Dostarczenie dokumentacji powykonawczej (np. schematy połączeń kablowych, pomiary elektryczne dedykowanych obwodów, konfigurację urządzeń        i adresację IP, kopię plików konfiguracyjnych systemu, wykaz dostarczonych urządzeń i części zamiennych) i instrukcji obsługi/serwisowych w języku polskim.</w:t>
      </w:r>
    </w:p>
    <w:p>
      <w:pPr>
        <w:pStyle w:val="Normal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color w:val="1F1F1F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1F1F1F"/>
          <w:kern w:val="0"/>
          <w:lang w:eastAsia="pl-PL"/>
          <w14:ligatures w14:val="none"/>
        </w:rPr>
        <w:t>Zamawiający zastrzega sobie możliwość korzystania z Auli w każdy ostatni czwartek miesiąca w celu przeprowadzenia Sesji Rady Miasta Płocka.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c794b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ec794b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ec794b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c794b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c794b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c794b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c794b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c794b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c794b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c794b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qFormat/>
    <w:rsid w:val="00ec794b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qFormat/>
    <w:rsid w:val="00ec794b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c794b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ec794b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ec794b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c794b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c794b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c794b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c794b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c794b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c794b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c794b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c794b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ec794b"/>
    <w:rPr>
      <w:b/>
      <w:bCs/>
      <w:smallCaps/>
      <w:color w:themeColor="accent1" w:themeShade="bf" w:val="2F5496"/>
      <w:spacing w:val="5"/>
    </w:rPr>
  </w:style>
  <w:style w:type="character" w:styleId="citation-50" w:customStyle="1">
    <w:name w:val="citation-50"/>
    <w:basedOn w:val="DefaultParagraphFont"/>
    <w:qFormat/>
    <w:rsid w:val="00eb6ea5"/>
    <w:rPr/>
  </w:style>
  <w:style w:type="character" w:styleId="citation-54" w:customStyle="1">
    <w:name w:val="citation-54"/>
    <w:basedOn w:val="DefaultParagraphFont"/>
    <w:qFormat/>
    <w:rsid w:val="002b6c4e"/>
    <w:rPr/>
  </w:style>
  <w:style w:type="character" w:styleId="citation-465" w:customStyle="1">
    <w:name w:val="citation-465"/>
    <w:basedOn w:val="DefaultParagraphFont"/>
    <w:qFormat/>
    <w:rsid w:val="00f05d6d"/>
    <w:rPr/>
  </w:style>
  <w:style w:type="character" w:styleId="citation-1140" w:customStyle="1">
    <w:name w:val="citation-1140"/>
    <w:basedOn w:val="DefaultParagraphFont"/>
    <w:qFormat/>
    <w:rsid w:val="005102d1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ec794b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c794b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c794b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c794b"/>
    <w:pPr>
      <w:spacing w:before="0" w:after="0"/>
      <w:ind w:hanging="0"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c794b"/>
    <w:pPr>
      <w:pBdr>
        <w:top w:val="single" w:sz="4" w:space="10" w:color="2F5496"/>
        <w:bottom w:val="single" w:sz="4" w:space="10" w:color="2F5496"/>
      </w:pBdr>
      <w:spacing w:before="360" w:after="360"/>
      <w:ind w:hanging="0"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ec794b"/>
    <w:pPr>
      <w:spacing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Application>LibreOffice/25.2.7.2$Windows_X86_64 LibreOffice_project/5cbfd1ab6520636bb5f7b99185aa69bd7456825d</Application>
  <AppVersion>15.0000</AppVersion>
  <Pages>3</Pages>
  <Words>1048</Words>
  <Characters>7045</Characters>
  <CharactersWithSpaces>8049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2026-02-11T12:47:00Z</dcterms:created>
  <dc:creator>Konrad P</dc:creator>
  <dc:description/>
  <dc:language>pl-PL</dc:language>
  <cp:lastModifiedBy/>
  <cp:lastPrinted>2026-02-19T07:53:51Z</cp:lastPrinted>
  <dcterms:modified xsi:type="dcterms:W3CDTF">2026-02-20T10:56:01Z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